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陕西煤业化工集团神木能源发展有限公司电化分公司自行监测方案</w:t>
      </w: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  <w:bookmarkStart w:id="0" w:name="_GoBack"/>
      <w:bookmarkEnd w:id="0"/>
    </w:p>
    <w:p>
      <w:pPr>
        <w:ind w:firstLine="1606" w:firstLineChars="500"/>
        <w:jc w:val="left"/>
        <w:rPr>
          <w:rFonts w:ascii="仿宋" w:eastAsia="仿宋"/>
          <w:b/>
          <w:sz w:val="32"/>
          <w:szCs w:val="32"/>
        </w:rPr>
      </w:pPr>
    </w:p>
    <w:p>
      <w:pPr>
        <w:jc w:val="center"/>
        <w:rPr>
          <w:rFonts w:ascii="仿宋" w:eastAsia="仿宋"/>
          <w:b/>
          <w:sz w:val="32"/>
          <w:szCs w:val="32"/>
          <w:u w:val="single"/>
        </w:rPr>
      </w:pPr>
      <w:r>
        <w:rPr>
          <w:rFonts w:hint="eastAsia" w:ascii="仿宋" w:eastAsia="仿宋"/>
          <w:b/>
          <w:sz w:val="32"/>
          <w:szCs w:val="32"/>
        </w:rPr>
        <w:t>企业名称：</w:t>
      </w:r>
      <w:r>
        <w:rPr>
          <w:rFonts w:hint="eastAsia" w:ascii="仿宋" w:eastAsia="仿宋"/>
          <w:b/>
          <w:spacing w:val="-20"/>
          <w:sz w:val="32"/>
          <w:szCs w:val="32"/>
          <w:u w:val="single"/>
        </w:rPr>
        <w:t>陕西煤业化工集团神木能源发展有限公司电化分公司</w:t>
      </w:r>
    </w:p>
    <w:p>
      <w:pPr>
        <w:jc w:val="center"/>
        <w:rPr>
          <w:rFonts w:ascii="仿宋" w:eastAsia="仿宋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935355</wp:posOffset>
                </wp:positionV>
                <wp:extent cx="414020" cy="243205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" cy="242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85pt;margin-top:73.65pt;height:19.15pt;width:32.6pt;visibility:hidden;z-index:251659264;v-text-anchor:middle;mso-width-relative:page;mso-height-relative:page;" fillcolor="#4F81BD [3204]" filled="t" stroked="t" coordsize="21600,21600" o:gfxdata="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UG7IrYAAAACQEAAA8AAAAAAAAAAQAgAAAAIgAA&#10;AGRycy9kb3ducmV2LnhtbFBLAQIUABQAAAAIAIdO4kBThKf/egIAAAgFAAAOAAAAAAAAAAEAIAAA&#10;ACcBAABkcnMvZTJvRG9jLnhtbFBLBQYAAAAABgAGAFkBAAAT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eastAsia="仿宋"/>
          <w:b/>
          <w:sz w:val="32"/>
          <w:szCs w:val="32"/>
        </w:rPr>
        <w:t>202</w:t>
      </w:r>
      <w:r>
        <w:rPr>
          <w:rFonts w:hint="eastAsia" w:asci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b/>
          <w:sz w:val="32"/>
          <w:szCs w:val="32"/>
        </w:rPr>
        <w:t>年</w:t>
      </w:r>
      <w:r>
        <w:rPr>
          <w:rFonts w:hint="eastAsia" w:asci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eastAsia="仿宋"/>
          <w:b/>
          <w:sz w:val="32"/>
          <w:szCs w:val="32"/>
        </w:rPr>
        <w:t>月</w:t>
      </w:r>
    </w:p>
    <w:p>
      <w:pPr>
        <w:spacing w:line="500" w:lineRule="exact"/>
        <w:jc w:val="center"/>
        <w:rPr>
          <w:rFonts w:eastAsia="华文中宋"/>
          <w:b/>
          <w:kern w:val="0"/>
          <w:sz w:val="36"/>
          <w:szCs w:val="36"/>
        </w:rPr>
      </w:pPr>
      <w:r>
        <w:rPr>
          <w:rFonts w:hint="eastAsia" w:eastAsia="华文中宋"/>
          <w:b/>
          <w:kern w:val="0"/>
          <w:sz w:val="36"/>
          <w:szCs w:val="36"/>
        </w:rPr>
        <w:t>陕西煤业化工集团神木能源发展有限公司电化分公司</w:t>
      </w:r>
    </w:p>
    <w:p>
      <w:pPr>
        <w:spacing w:line="500" w:lineRule="exact"/>
        <w:jc w:val="center"/>
        <w:rPr>
          <w:rFonts w:ascii="华文中宋" w:eastAsia="华文中宋"/>
          <w:b/>
          <w:kern w:val="0"/>
          <w:sz w:val="36"/>
          <w:szCs w:val="36"/>
        </w:rPr>
      </w:pPr>
      <w:r>
        <w:rPr>
          <w:rFonts w:hint="eastAsia" w:ascii="华文中宋" w:eastAsia="华文中宋"/>
          <w:b/>
          <w:kern w:val="0"/>
          <w:sz w:val="36"/>
          <w:szCs w:val="36"/>
        </w:rPr>
        <w:t>自行监测方案</w:t>
      </w:r>
    </w:p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一、企业基本情况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46"/>
        <w:gridCol w:w="2044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09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陕西煤业化工集团神木能源发展有限公司电化分公司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09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陕西省榆林市神木市兰炭产业特色园区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09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金海伟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09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646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王伟</w:t>
            </w:r>
          </w:p>
        </w:tc>
        <w:tc>
          <w:tcPr>
            <w:tcW w:w="2044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023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18891231880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09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所属行业</w:t>
            </w:r>
          </w:p>
        </w:tc>
        <w:tc>
          <w:tcPr>
            <w:tcW w:w="2646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无机盐制造</w:t>
            </w:r>
          </w:p>
        </w:tc>
        <w:tc>
          <w:tcPr>
            <w:tcW w:w="2044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生产周期</w:t>
            </w:r>
          </w:p>
        </w:tc>
        <w:tc>
          <w:tcPr>
            <w:tcW w:w="2023" w:type="dxa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24小时连续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自行监测</w:t>
            </w:r>
          </w:p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开展方式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自动监测+手工监测+委托监测。</w:t>
            </w:r>
          </w:p>
          <w:p>
            <w:pPr>
              <w:pStyle w:val="12"/>
              <w:snapToGrid w:val="0"/>
              <w:spacing w:after="0" w:line="500" w:lineRule="exact"/>
              <w:ind w:left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同时安排专人专职队监测数据进行记录、整理、统计和分析，公司对监测结果的真实性、准确性、完整性负责。</w:t>
            </w:r>
          </w:p>
        </w:tc>
      </w:tr>
    </w:tbl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4"/>
        </w:rPr>
        <w:t>污染物产生情况及治理措施</w:t>
      </w:r>
    </w:p>
    <w:tbl>
      <w:tblPr>
        <w:tblStyle w:val="5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83"/>
        <w:gridCol w:w="54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污染源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处理设施及排放去向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废气</w:t>
            </w: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石灰石输送和筛分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</w:t>
            </w:r>
            <w:r>
              <w:rPr>
                <w:rFonts w:hint="eastAsia" w:ascii="仿宋_GB2312" w:eastAsia="仿宋_GB2312"/>
                <w:sz w:val="24"/>
              </w:rPr>
              <w:t>集尘罩、袋式除尘后经15m排气筒排放。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石灰窑煅烧烟气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煅烧烟气采用布袋除尘后经53m排气筒排放。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兰炭烘干烟气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烘干烟气布袋除尘后经20m排气筒排放。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石灰和兰炭筛分、破碎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采用袋式除尘后经15m排气筒排放。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电石炉烟气及出炉废气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电石炉气经旋风冷却分离后再进入高温过滤器净化，净化后的电石炉尾气厂区自用。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电石出炉粉尘采取集尘罩、布袋除尘后经17.5m排气筒排放。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废水</w:t>
            </w: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清净下水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循环冷却水系统和脱盐水站的排水，用于冲厕和浇洒道路。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生活污水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生活经化粪池后进入电厂分公司生化处理。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初期雨水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在原料堆场区设初期雨水收集系统。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固废</w:t>
            </w:r>
          </w:p>
        </w:tc>
        <w:tc>
          <w:tcPr>
            <w:tcW w:w="12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石灰粉尘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综合利用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焦炭粉尘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部分做兰炭烘干燃料，部分做建材，综合利用。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电石炉尘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综合利用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石灰窑灰渣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综合利用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pc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生活垃圾</w:t>
            </w:r>
          </w:p>
        </w:tc>
        <w:tc>
          <w:tcPr>
            <w:tcW w:w="3209" w:type="pc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送工业园区环卫部门集中处理。</w:t>
            </w:r>
          </w:p>
        </w:tc>
      </w:tr>
    </w:tbl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三、监测点位及项目</w:t>
      </w:r>
    </w:p>
    <w:tbl>
      <w:tblPr>
        <w:tblStyle w:val="5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200"/>
        <w:gridCol w:w="1788"/>
        <w:gridCol w:w="137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93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  <w:t>生产单元</w:t>
            </w:r>
          </w:p>
        </w:tc>
        <w:tc>
          <w:tcPr>
            <w:tcW w:w="1341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  <w:t>监测点位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snapToGrid w:val="0"/>
              <w:ind w:left="199"/>
              <w:contextualSpacing/>
              <w:jc w:val="center"/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  <w:t>监测项目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  <w:t>排口编号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b/>
                <w:kern w:val="0"/>
                <w:sz w:val="24"/>
                <w:lang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restart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电石生产</w:t>
            </w: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石灰石受料排气筒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snapToGrid w:val="0"/>
              <w:ind w:left="199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DA001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综合筛分楼排气筒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snapToGrid w:val="0"/>
              <w:ind w:left="199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DA002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1#石灰窑烟气排气筒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二氧化硫,颗粒物,氮氧化物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DA003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主要排放口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2#石灰窑烟气排气筒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氮氧化物,颗粒物,二氧化硫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DA004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主要排放口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石</w:t>
            </w:r>
            <w:r>
              <w:rPr>
                <w:rFonts w:hint="eastAsia" w:ascii="仿宋_GB2312" w:eastAsia="仿宋_GB2312"/>
                <w:sz w:val="24"/>
              </w:rPr>
              <w:t>筛分排气筒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DA005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兰炭储运排气筒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DA006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1-2#烘干排放口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二氧化硫,氮氧化物,颗粒物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DA007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主要排放口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3-4#烘干排气筒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二氧化硫,颗粒物,氮氧化物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DA008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主要排放口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1#配料站排气筒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DA009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2#配料站排气筒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DA010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1-2#环形加料排气筒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DA011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3-4#环形加料排气筒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DA012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1#电石炉出炉烟气排气筒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DA013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2#电石炉出炉烟气排气筒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DA014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1#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-2#</w:t>
            </w:r>
            <w:r>
              <w:rPr>
                <w:rFonts w:hint="eastAsia" w:ascii="仿宋_GB2312" w:eastAsia="仿宋_GB2312"/>
                <w:sz w:val="24"/>
              </w:rPr>
              <w:t>电石生产车间排气筒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DA015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3#电石炉出炉烟气排放筒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DA016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4#电石炉出炉烟气排放筒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DA017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#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-4#</w:t>
            </w:r>
            <w:r>
              <w:rPr>
                <w:rFonts w:hint="eastAsia" w:ascii="仿宋_GB2312" w:eastAsia="仿宋_GB2312"/>
                <w:sz w:val="24"/>
              </w:rPr>
              <w:t>电石生产车间排气筒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DA018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兰炭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转</w:t>
            </w:r>
            <w:r>
              <w:rPr>
                <w:rFonts w:hint="eastAsia" w:ascii="仿宋_GB2312" w:eastAsia="仿宋_GB2312"/>
                <w:sz w:val="24"/>
              </w:rPr>
              <w:t>运排气筒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DA01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石灰出料</w:t>
            </w:r>
            <w:r>
              <w:rPr>
                <w:rFonts w:hint="eastAsia" w:ascii="仿宋_GB2312" w:eastAsia="仿宋_GB2312"/>
                <w:sz w:val="24"/>
              </w:rPr>
              <w:t>排气筒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颗粒物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DA0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一般排放口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restart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全厂</w:t>
            </w:r>
          </w:p>
        </w:tc>
        <w:tc>
          <w:tcPr>
            <w:tcW w:w="1341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雨水排放口（全厂）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悬浮物、总氮（以N计）、化学需氧量、石油类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YS001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</w:p>
        </w:tc>
        <w:tc>
          <w:tcPr>
            <w:tcW w:w="1341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厂界</w:t>
            </w:r>
          </w:p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（上风向1个点，下风向3个点）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颗粒物、二氧化硫、氮氧化物、一氧化碳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/</w:t>
            </w:r>
          </w:p>
        </w:tc>
        <w:tc>
          <w:tcPr>
            <w:tcW w:w="936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监测点位根据实际风向确定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</w:pPr>
            <w:r>
              <w:rPr>
                <w:rFonts w:hint="eastAsia" w:ascii="仿宋_GB2312" w:hAnsi="Cambria" w:eastAsia="仿宋_GB2312"/>
                <w:kern w:val="0"/>
                <w:sz w:val="24"/>
                <w:lang w:bidi="en-US"/>
              </w:rPr>
              <w:t>点位示意图（如下）</w:t>
            </w:r>
          </w:p>
        </w:tc>
      </w:tr>
    </w:tbl>
    <w:p>
      <w:pPr>
        <w:spacing w:before="156" w:beforeLines="50" w:after="156" w:afterLines="50" w:line="360" w:lineRule="auto"/>
        <w:jc w:val="center"/>
        <w:outlineLvl w:val="0"/>
        <w:rPr>
          <w:rFonts w:ascii="仿宋_GB2312" w:eastAsia="仿宋_GB2312"/>
          <w:b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360" w:lineRule="auto"/>
        <w:jc w:val="center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-125095</wp:posOffset>
            </wp:positionV>
            <wp:extent cx="7466965" cy="5600065"/>
            <wp:effectExtent l="9525" t="9525" r="21590" b="13970"/>
            <wp:wrapSquare wrapText="bothSides"/>
            <wp:docPr id="13" name="图片 13" descr="F:\360安全云盘同步版\排污许可证\45-能源公司电化分公司\2021-3-20重新申报\平面布置图\能源电化分公司厂区平面布置图\监测点位示意图.jpg监测点位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360安全云盘同步版\排污许可证\45-能源公司电化分公司\2021-3-20重新申报\平面布置图\能源电化分公司厂区平面布置图\监测点位示意图.jpg监测点位示意图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6965" cy="560006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四、监测项目及频次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84"/>
        <w:gridCol w:w="1161"/>
        <w:gridCol w:w="1116"/>
        <w:gridCol w:w="633"/>
        <w:gridCol w:w="1220"/>
        <w:gridCol w:w="1986"/>
        <w:gridCol w:w="3482"/>
        <w:gridCol w:w="735"/>
        <w:gridCol w:w="2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排放口名称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污染物名称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浓度限值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监测方式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手工监测采样方法及个数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手工监测频次</w:t>
            </w:r>
          </w:p>
        </w:tc>
        <w:tc>
          <w:tcPr>
            <w:tcW w:w="3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手工测定方法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监测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设备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执行标准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废水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雨水排放口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悬浮物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混合采样 至少3个混合样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排放期间按日监测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水质 悬浮物的测定 重量法 GB 11901-1989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氨氮（NH3-N）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混合采样 至少3个混合样</w:t>
            </w:r>
          </w:p>
        </w:tc>
        <w:tc>
          <w:tcPr>
            <w:tcW w:w="19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水质 氨氮的测定 流动注射-水杨酸分光光度法HJ 666-2013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混合采样 至少3个混合样</w:t>
            </w:r>
          </w:p>
        </w:tc>
        <w:tc>
          <w:tcPr>
            <w:tcW w:w="19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水质 化学需氧量的测定 快速消解分光光度法 HJ/T 399-2007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混合采样 至少3个混合样</w:t>
            </w:r>
          </w:p>
        </w:tc>
        <w:tc>
          <w:tcPr>
            <w:tcW w:w="1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水质 石油类和动植物油的测定 红外光度法 GB/T 16488-1996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废气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石灰石受料排气筒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99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筛分楼排气筒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99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1#石灰窑烟气排气筒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二氧化硫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自动故障时段采用手工监测，至少4小时1次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氮氧化物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2#石灰窑烟气排气筒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氮氧化物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自动故障时段采用手工监测，至少4小时1次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二氧化硫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石灰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筛分排气筒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兰炭储运排气筒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1-2#烘干排放口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二氧化硫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自动故障时段采用手工监测，至少4小时1次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氮氧化物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3-4#烘干排气筒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二氧化硫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自动故障时段采用手工监测，至少4小时1次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0mg/Nm3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工业炉窑大气污染物排放标准GB 9078-1996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氮氧化物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自动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在线监测设施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1#配料站排气筒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2#配料站排气筒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1-2#环形加料排气筒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3-4#环形加料排气筒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1#电石炉出炉烟气排气筒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2#电石炉出炉烟气排气筒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1#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-2#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电石生产车间排气筒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3#电石炉出炉烟气排放筒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4#电石炉出炉烟气排放筒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#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-4#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电石生产车间排气筒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兰炭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转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运排气筒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石灰出料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排气筒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120mg/Nm3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固定污染源废气 氮氧化物的测定 定电位电解法HJ 693-2014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厂界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环境空气 总悬浮颗粒物的测定 重量法 GB/T 15432-1995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二氧化硫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环境空气 二氧化硫的测定 甲醛吸收-副玫瑰苯胺分光光度法 HJ 482-2009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0.12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环境空气 氮氧化物（一氧化氮和二氧化氮）的测定 盐酸萘乙二胺分光光度法 HJ 479-2009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一氧化碳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mg/Nm3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手工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非连续采样 至少3个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1次/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固定污染源排气中一氧化碳的测定 非色散红外吸收法HJ/T 44-1999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依托委托单位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大气污染物综合排放标准GB16297-1996</w:t>
            </w:r>
          </w:p>
        </w:tc>
      </w:tr>
    </w:tbl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</w:p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五、监测质量控制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1. 按照监测方法和技术规范的要求开展监测活动。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2. 自行监测仪器和设备符合国家标准要求，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把好手工监测仪器的质量关，所有监测仪器、量具、标准气体均经过质检部门检定合格并在有效期内。</w:t>
      </w: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仪器和设备定期维护保养和校对，确保完好正常。监测仪器和设备使用前认真检查监测设备、仪器各部件完好，发现问题及时处理，确保监测数据准确。每次使用完监测仪器和设备，保持仪器和设备清洁干净，并妥善保管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3. 对委托的检（监）测机构的资质进行确认，对监测机构的人员、监测设施和环境、技术能力等方面进行审核。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4. 监测技术方案、样品采集、分析、样品留存、相关记录的保存等监测的各个环节均依托被委托的有资质的检（监）测机构。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zh-CN" w:eastAsia="zh-CN"/>
        </w:rPr>
        <w:t>5. 坚决贯彻落实环保部门有关规定，积极与环保部门联系，获取技术支持和咨询服务。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pStyle w:val="12"/>
        <w:spacing w:line="540" w:lineRule="exact"/>
        <w:ind w:left="0"/>
        <w:rPr>
          <w:rFonts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  <w:t>六、信息记录及报告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1、废水污染物排放情况手工监测记录要记录采样日期、样品数量、采样方法、采样人姓名、排放口编码、废水类型、水温、出口流量、污染因子、出口浓度、许可排放浓度限值、测定方法、是否超标，若监测结果超标，应说明超标原因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2、无组织废气污染物排放情况手工监测记录要记录采样日期、采样点位数量、各点位样品数量、采样方法、采样人姓名、无组织排放编码、污染因子、采样点位、监测浓度、许可排放浓度限值、测定方法、是否超标，若监测结果超标，应说明超标原因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3、手工监测记录。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4、信息记录由专人整理，以电子和纸质形式分别记录，严格按照监测频次进行整理和记录。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5、监测数据记录按监测时间建立电子文件，内含所有监测信息，纸质记录数据要保留原件，所有文件和资料保存期限不得少于三年。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6、按要求编写自行监测年度报告，年度报告至少应包含以下内容：a） 监测方案的调整变化情况及变更原因；b） 企业及各主要生产设施（至少涵盖废气主要污染源相关生产设施）全年运行天数，各监测点、各监测指标全年监测次数、超标情况、浓度分布情况；c） 按要求开展的周边环境质量影响状况监测结果；d） 自行监测开展的其他情况说明；e） 排污单位实现达标排放所采取的主要措施。</w:t>
      </w:r>
    </w:p>
    <w:p>
      <w:pPr>
        <w:pStyle w:val="12"/>
        <w:spacing w:line="540" w:lineRule="exact"/>
        <w:ind w:left="0" w:firstLine="560" w:firstLineChars="200"/>
        <w:rPr>
          <w:rFonts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7、编写相关应急报告，若监测结果出现超标的，应加密监测，并检查超标原因。短期内无法实现稳定达标排放的，应向环境保护主管部门提交事故分析报告，说明事故发生的原因，采取减轻或防止污染的措施，以及今后的预防及改进措施等；若因发生事故或者其他突发事件，排放的污水可能危及城镇排水与污水处理设施安全运行的，应当立即采取措施消除危害，并及时向城镇排水主管部门和环境保护主管部门等有关部门报告。</w:t>
      </w:r>
    </w:p>
    <w:p>
      <w:pPr>
        <w:pStyle w:val="12"/>
        <w:spacing w:line="540" w:lineRule="exact"/>
        <w:ind w:left="0"/>
        <w:rPr>
          <w:rFonts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  <w:t>七、信息公开</w:t>
      </w:r>
    </w:p>
    <w:p>
      <w:pPr>
        <w:pStyle w:val="12"/>
        <w:spacing w:line="540" w:lineRule="exact"/>
        <w:ind w:left="0" w:firstLine="560" w:firstLineChars="200"/>
        <w:rPr>
          <w:rFonts w:ascii="仿宋_GB2312" w:eastAsia="仿宋_GB2312" w:cs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自行监测信息公开内容及方式按照《企业事业单位环境信息公开办法》（环境保护部令 第31号）及《国家重点监控企业自行监测及信息公开办法（试行）》（环发[2013]81号）执行。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58651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02"/>
    <w:rsid w:val="00006107"/>
    <w:rsid w:val="000246CD"/>
    <w:rsid w:val="00030A17"/>
    <w:rsid w:val="00036590"/>
    <w:rsid w:val="00052179"/>
    <w:rsid w:val="000541AF"/>
    <w:rsid w:val="00063945"/>
    <w:rsid w:val="00065B10"/>
    <w:rsid w:val="000670A6"/>
    <w:rsid w:val="0008240A"/>
    <w:rsid w:val="000A6566"/>
    <w:rsid w:val="000E7AFC"/>
    <w:rsid w:val="000F61F2"/>
    <w:rsid w:val="00104B9F"/>
    <w:rsid w:val="0010721F"/>
    <w:rsid w:val="00110409"/>
    <w:rsid w:val="00112157"/>
    <w:rsid w:val="00114ED2"/>
    <w:rsid w:val="00120FB0"/>
    <w:rsid w:val="00123155"/>
    <w:rsid w:val="001249E2"/>
    <w:rsid w:val="001271B4"/>
    <w:rsid w:val="001363B1"/>
    <w:rsid w:val="001436F4"/>
    <w:rsid w:val="00144547"/>
    <w:rsid w:val="00147C64"/>
    <w:rsid w:val="001501F4"/>
    <w:rsid w:val="00162DF9"/>
    <w:rsid w:val="00166497"/>
    <w:rsid w:val="00172A27"/>
    <w:rsid w:val="0018115D"/>
    <w:rsid w:val="00184F14"/>
    <w:rsid w:val="00185B3D"/>
    <w:rsid w:val="0018701D"/>
    <w:rsid w:val="001A0018"/>
    <w:rsid w:val="001A0082"/>
    <w:rsid w:val="001B1B4B"/>
    <w:rsid w:val="001B4C3D"/>
    <w:rsid w:val="001B6AA0"/>
    <w:rsid w:val="001C0561"/>
    <w:rsid w:val="001C1E24"/>
    <w:rsid w:val="001C220D"/>
    <w:rsid w:val="001F15F8"/>
    <w:rsid w:val="001F672E"/>
    <w:rsid w:val="002026F2"/>
    <w:rsid w:val="00222C13"/>
    <w:rsid w:val="00223AB4"/>
    <w:rsid w:val="002311B4"/>
    <w:rsid w:val="00236533"/>
    <w:rsid w:val="00243EC2"/>
    <w:rsid w:val="002459B8"/>
    <w:rsid w:val="0025583F"/>
    <w:rsid w:val="00260E76"/>
    <w:rsid w:val="00276359"/>
    <w:rsid w:val="002766AD"/>
    <w:rsid w:val="0027741D"/>
    <w:rsid w:val="002A2D90"/>
    <w:rsid w:val="002D4900"/>
    <w:rsid w:val="002E198F"/>
    <w:rsid w:val="002E5772"/>
    <w:rsid w:val="002F777E"/>
    <w:rsid w:val="003065F2"/>
    <w:rsid w:val="00310F14"/>
    <w:rsid w:val="00313BE4"/>
    <w:rsid w:val="00341469"/>
    <w:rsid w:val="00362A57"/>
    <w:rsid w:val="003808D6"/>
    <w:rsid w:val="00392546"/>
    <w:rsid w:val="003B514D"/>
    <w:rsid w:val="003C5AF5"/>
    <w:rsid w:val="003D1E46"/>
    <w:rsid w:val="003D47E6"/>
    <w:rsid w:val="003D7B9E"/>
    <w:rsid w:val="0040315E"/>
    <w:rsid w:val="00407ECB"/>
    <w:rsid w:val="00416239"/>
    <w:rsid w:val="00437F7E"/>
    <w:rsid w:val="00443B66"/>
    <w:rsid w:val="00446012"/>
    <w:rsid w:val="0045146C"/>
    <w:rsid w:val="00455745"/>
    <w:rsid w:val="00466FF0"/>
    <w:rsid w:val="00477EA5"/>
    <w:rsid w:val="00482840"/>
    <w:rsid w:val="00485A26"/>
    <w:rsid w:val="00487275"/>
    <w:rsid w:val="004919A7"/>
    <w:rsid w:val="004949F6"/>
    <w:rsid w:val="004B1B1F"/>
    <w:rsid w:val="004D7173"/>
    <w:rsid w:val="005078F7"/>
    <w:rsid w:val="0051793D"/>
    <w:rsid w:val="00523A85"/>
    <w:rsid w:val="00537077"/>
    <w:rsid w:val="00550663"/>
    <w:rsid w:val="00551AA2"/>
    <w:rsid w:val="005659B1"/>
    <w:rsid w:val="00565A99"/>
    <w:rsid w:val="00565C4B"/>
    <w:rsid w:val="00573253"/>
    <w:rsid w:val="00573F51"/>
    <w:rsid w:val="00574A8A"/>
    <w:rsid w:val="00575F7D"/>
    <w:rsid w:val="00581CBF"/>
    <w:rsid w:val="0058491B"/>
    <w:rsid w:val="005A0CE5"/>
    <w:rsid w:val="005A6BD1"/>
    <w:rsid w:val="005B3FC7"/>
    <w:rsid w:val="005B435E"/>
    <w:rsid w:val="005C5D48"/>
    <w:rsid w:val="005C7B50"/>
    <w:rsid w:val="005D7508"/>
    <w:rsid w:val="005F4E7B"/>
    <w:rsid w:val="005F53EA"/>
    <w:rsid w:val="006070E3"/>
    <w:rsid w:val="006143D5"/>
    <w:rsid w:val="006423FC"/>
    <w:rsid w:val="00646C33"/>
    <w:rsid w:val="00650813"/>
    <w:rsid w:val="00651B2C"/>
    <w:rsid w:val="00656483"/>
    <w:rsid w:val="00671160"/>
    <w:rsid w:val="00687CEF"/>
    <w:rsid w:val="00693037"/>
    <w:rsid w:val="006932C8"/>
    <w:rsid w:val="00694D9B"/>
    <w:rsid w:val="006A12FC"/>
    <w:rsid w:val="006A4D00"/>
    <w:rsid w:val="006B2B02"/>
    <w:rsid w:val="006B3E24"/>
    <w:rsid w:val="006C0A3D"/>
    <w:rsid w:val="006C5797"/>
    <w:rsid w:val="006D2E86"/>
    <w:rsid w:val="006D67FA"/>
    <w:rsid w:val="006E2E49"/>
    <w:rsid w:val="006F1F23"/>
    <w:rsid w:val="006F600B"/>
    <w:rsid w:val="00700315"/>
    <w:rsid w:val="00703D82"/>
    <w:rsid w:val="007066D1"/>
    <w:rsid w:val="00722C6B"/>
    <w:rsid w:val="00725B5F"/>
    <w:rsid w:val="00735F7A"/>
    <w:rsid w:val="00744141"/>
    <w:rsid w:val="00755392"/>
    <w:rsid w:val="007571BA"/>
    <w:rsid w:val="00765BBA"/>
    <w:rsid w:val="0079697E"/>
    <w:rsid w:val="007A5EFA"/>
    <w:rsid w:val="007B4F42"/>
    <w:rsid w:val="007D45B9"/>
    <w:rsid w:val="007D47ED"/>
    <w:rsid w:val="007E0A8B"/>
    <w:rsid w:val="007F1CAF"/>
    <w:rsid w:val="00804C68"/>
    <w:rsid w:val="0080635F"/>
    <w:rsid w:val="008114A3"/>
    <w:rsid w:val="00824C1D"/>
    <w:rsid w:val="00830AF8"/>
    <w:rsid w:val="00835826"/>
    <w:rsid w:val="00852AA5"/>
    <w:rsid w:val="00853317"/>
    <w:rsid w:val="008642A8"/>
    <w:rsid w:val="0086664A"/>
    <w:rsid w:val="00881750"/>
    <w:rsid w:val="008847EC"/>
    <w:rsid w:val="008A7AAA"/>
    <w:rsid w:val="008B083A"/>
    <w:rsid w:val="008C00E7"/>
    <w:rsid w:val="008C03A7"/>
    <w:rsid w:val="008C7248"/>
    <w:rsid w:val="008D2352"/>
    <w:rsid w:val="008F1AE5"/>
    <w:rsid w:val="00927918"/>
    <w:rsid w:val="00936AF4"/>
    <w:rsid w:val="00936CDD"/>
    <w:rsid w:val="0094434C"/>
    <w:rsid w:val="00945428"/>
    <w:rsid w:val="00946881"/>
    <w:rsid w:val="00951434"/>
    <w:rsid w:val="009635E6"/>
    <w:rsid w:val="0096426F"/>
    <w:rsid w:val="00991FB8"/>
    <w:rsid w:val="009D0ACC"/>
    <w:rsid w:val="009F03C2"/>
    <w:rsid w:val="009F586C"/>
    <w:rsid w:val="00A0071A"/>
    <w:rsid w:val="00A32851"/>
    <w:rsid w:val="00A476DE"/>
    <w:rsid w:val="00A607A2"/>
    <w:rsid w:val="00A651E1"/>
    <w:rsid w:val="00A67E28"/>
    <w:rsid w:val="00A97CB7"/>
    <w:rsid w:val="00AA3DD7"/>
    <w:rsid w:val="00AC01A9"/>
    <w:rsid w:val="00AC2113"/>
    <w:rsid w:val="00AD782D"/>
    <w:rsid w:val="00AE1624"/>
    <w:rsid w:val="00AF5210"/>
    <w:rsid w:val="00B0662F"/>
    <w:rsid w:val="00B077A1"/>
    <w:rsid w:val="00B112F0"/>
    <w:rsid w:val="00B163C7"/>
    <w:rsid w:val="00B16A8F"/>
    <w:rsid w:val="00B17EBA"/>
    <w:rsid w:val="00B202AC"/>
    <w:rsid w:val="00B25A81"/>
    <w:rsid w:val="00B3205E"/>
    <w:rsid w:val="00B330B4"/>
    <w:rsid w:val="00B3641E"/>
    <w:rsid w:val="00B44BF2"/>
    <w:rsid w:val="00B45BEC"/>
    <w:rsid w:val="00B53B83"/>
    <w:rsid w:val="00B54144"/>
    <w:rsid w:val="00B61FB2"/>
    <w:rsid w:val="00B76151"/>
    <w:rsid w:val="00B86C92"/>
    <w:rsid w:val="00B956D6"/>
    <w:rsid w:val="00B966D6"/>
    <w:rsid w:val="00BB4400"/>
    <w:rsid w:val="00BB7A65"/>
    <w:rsid w:val="00BC42C1"/>
    <w:rsid w:val="00BC7406"/>
    <w:rsid w:val="00BD00F6"/>
    <w:rsid w:val="00BE0FF5"/>
    <w:rsid w:val="00BE3CFA"/>
    <w:rsid w:val="00BF7AF7"/>
    <w:rsid w:val="00C02D18"/>
    <w:rsid w:val="00C21E2E"/>
    <w:rsid w:val="00C4169D"/>
    <w:rsid w:val="00C55090"/>
    <w:rsid w:val="00C61E2B"/>
    <w:rsid w:val="00C71801"/>
    <w:rsid w:val="00C74AD7"/>
    <w:rsid w:val="00C7567A"/>
    <w:rsid w:val="00C80322"/>
    <w:rsid w:val="00C82815"/>
    <w:rsid w:val="00C91928"/>
    <w:rsid w:val="00C953AC"/>
    <w:rsid w:val="00CB1E85"/>
    <w:rsid w:val="00CD68F0"/>
    <w:rsid w:val="00CE196A"/>
    <w:rsid w:val="00CE1B34"/>
    <w:rsid w:val="00CE2AA0"/>
    <w:rsid w:val="00CE57B0"/>
    <w:rsid w:val="00CF1095"/>
    <w:rsid w:val="00CF57E8"/>
    <w:rsid w:val="00D1528D"/>
    <w:rsid w:val="00D47C14"/>
    <w:rsid w:val="00D70DD9"/>
    <w:rsid w:val="00D97CD1"/>
    <w:rsid w:val="00DA0CF5"/>
    <w:rsid w:val="00DA16A7"/>
    <w:rsid w:val="00DA47E6"/>
    <w:rsid w:val="00DB417A"/>
    <w:rsid w:val="00DB4762"/>
    <w:rsid w:val="00DB5025"/>
    <w:rsid w:val="00DC1B6C"/>
    <w:rsid w:val="00DD16B2"/>
    <w:rsid w:val="00DD49F2"/>
    <w:rsid w:val="00E0347E"/>
    <w:rsid w:val="00E1071F"/>
    <w:rsid w:val="00E25B4D"/>
    <w:rsid w:val="00E33DB0"/>
    <w:rsid w:val="00E41106"/>
    <w:rsid w:val="00E45B68"/>
    <w:rsid w:val="00E47028"/>
    <w:rsid w:val="00E53741"/>
    <w:rsid w:val="00E75A5A"/>
    <w:rsid w:val="00E82D92"/>
    <w:rsid w:val="00E91C6D"/>
    <w:rsid w:val="00E92555"/>
    <w:rsid w:val="00E97A3C"/>
    <w:rsid w:val="00EA45AA"/>
    <w:rsid w:val="00EB3D00"/>
    <w:rsid w:val="00EC4790"/>
    <w:rsid w:val="00ED7FD2"/>
    <w:rsid w:val="00EE590C"/>
    <w:rsid w:val="00EE78B6"/>
    <w:rsid w:val="00EF0CA6"/>
    <w:rsid w:val="00EF5800"/>
    <w:rsid w:val="00F1237F"/>
    <w:rsid w:val="00F203CA"/>
    <w:rsid w:val="00F354EC"/>
    <w:rsid w:val="00F514FE"/>
    <w:rsid w:val="00F60C72"/>
    <w:rsid w:val="00F71284"/>
    <w:rsid w:val="00F725AA"/>
    <w:rsid w:val="00F7528D"/>
    <w:rsid w:val="00F838EE"/>
    <w:rsid w:val="00FE369B"/>
    <w:rsid w:val="00FE5905"/>
    <w:rsid w:val="00FF04EB"/>
    <w:rsid w:val="00FF2C43"/>
    <w:rsid w:val="00FF6D3C"/>
    <w:rsid w:val="0108000E"/>
    <w:rsid w:val="013503AA"/>
    <w:rsid w:val="05DA3FA0"/>
    <w:rsid w:val="08350A2B"/>
    <w:rsid w:val="0A900383"/>
    <w:rsid w:val="12A656B1"/>
    <w:rsid w:val="13D47DB9"/>
    <w:rsid w:val="17C94D54"/>
    <w:rsid w:val="1AEE22B8"/>
    <w:rsid w:val="1C3327D9"/>
    <w:rsid w:val="1D094CED"/>
    <w:rsid w:val="210E5CBA"/>
    <w:rsid w:val="25081ECE"/>
    <w:rsid w:val="26A44EAA"/>
    <w:rsid w:val="2710198C"/>
    <w:rsid w:val="295106C3"/>
    <w:rsid w:val="2EB57DBD"/>
    <w:rsid w:val="2F957309"/>
    <w:rsid w:val="32127903"/>
    <w:rsid w:val="33B8651E"/>
    <w:rsid w:val="380D6EB2"/>
    <w:rsid w:val="384F73F5"/>
    <w:rsid w:val="38696438"/>
    <w:rsid w:val="3AA06F6E"/>
    <w:rsid w:val="3F150BD8"/>
    <w:rsid w:val="40E5362F"/>
    <w:rsid w:val="42985832"/>
    <w:rsid w:val="494B619F"/>
    <w:rsid w:val="4F614987"/>
    <w:rsid w:val="4FC1627B"/>
    <w:rsid w:val="528569AA"/>
    <w:rsid w:val="552741B2"/>
    <w:rsid w:val="563E229E"/>
    <w:rsid w:val="57924DC2"/>
    <w:rsid w:val="5C885423"/>
    <w:rsid w:val="601E0C00"/>
    <w:rsid w:val="60701F5B"/>
    <w:rsid w:val="66FF4E4F"/>
    <w:rsid w:val="676E4343"/>
    <w:rsid w:val="691417BC"/>
    <w:rsid w:val="6DC42B29"/>
    <w:rsid w:val="706314A8"/>
    <w:rsid w:val="71BA35FF"/>
    <w:rsid w:val="75AB2A94"/>
    <w:rsid w:val="764D1D61"/>
    <w:rsid w:val="77286BC7"/>
    <w:rsid w:val="787C6CA2"/>
    <w:rsid w:val="7DA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uiPriority w:val="0"/>
    <w:rPr>
      <w:color w:val="185ECF"/>
      <w:u w:val="none"/>
    </w:rPr>
  </w:style>
  <w:style w:type="character" w:styleId="10">
    <w:name w:val="Hyperlink"/>
    <w:basedOn w:val="7"/>
    <w:semiHidden/>
    <w:unhideWhenUsed/>
    <w:uiPriority w:val="0"/>
    <w:rPr>
      <w:color w:val="185ECF"/>
      <w:u w:val="none"/>
    </w:rPr>
  </w:style>
  <w:style w:type="paragraph" w:customStyle="1" w:styleId="11">
    <w:name w:val="B-标题2"/>
    <w:basedOn w:val="1"/>
    <w:next w:val="1"/>
    <w:qFormat/>
    <w:uiPriority w:val="0"/>
    <w:pPr>
      <w:spacing w:after="60"/>
      <w:jc w:val="left"/>
    </w:pPr>
  </w:style>
  <w:style w:type="paragraph" w:customStyle="1" w:styleId="12">
    <w:name w:val="列出段落1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character" w:customStyle="1" w:styleId="13">
    <w:name w:val="批注框文本 字符"/>
    <w:basedOn w:val="7"/>
    <w:link w:val="2"/>
    <w:qFormat/>
    <w:uiPriority w:val="0"/>
    <w:rPr>
      <w:rFonts w:eastAsia="宋体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rFonts w:eastAsia="宋体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/>
    </w:rPr>
  </w:style>
  <w:style w:type="character" w:customStyle="1" w:styleId="16">
    <w:name w:val="font01"/>
    <w:basedOn w:val="7"/>
    <w:uiPriority w:val="0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7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18">
    <w:name w:val="font3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2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showhidemsg1"/>
    <w:basedOn w:val="7"/>
    <w:qFormat/>
    <w:uiPriority w:val="0"/>
  </w:style>
  <w:style w:type="character" w:customStyle="1" w:styleId="21">
    <w:name w:val="shenbao"/>
    <w:basedOn w:val="7"/>
    <w:uiPriority w:val="0"/>
    <w:rPr>
      <w:color w:val="EF6334"/>
    </w:rPr>
  </w:style>
  <w:style w:type="character" w:customStyle="1" w:styleId="22">
    <w:name w:val="chakan"/>
    <w:basedOn w:val="7"/>
    <w:uiPriority w:val="0"/>
    <w:rPr>
      <w:color w:val="0064EA"/>
    </w:rPr>
  </w:style>
  <w:style w:type="character" w:customStyle="1" w:styleId="23">
    <w:name w:val="checkbox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67B1C-3E05-4AB8-B187-9A1545C03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803</Words>
  <Characters>4581</Characters>
  <Lines>38</Lines>
  <Paragraphs>10</Paragraphs>
  <TotalTime>3</TotalTime>
  <ScaleCrop>false</ScaleCrop>
  <LinksUpToDate>false</LinksUpToDate>
  <CharactersWithSpaces>5374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2018-05-05T09:28:00Z</dcterms:created>
  <dc:creator>Administrator</dc:creator>
  <cp:lastModifiedBy>愿我能</cp:lastModifiedBy>
  <cp:lastPrinted>2019-05-04T13:59:00Z</cp:lastPrinted>
  <dcterms:modified xsi:type="dcterms:W3CDTF">2022-01-06T06:16:16Z</dcterms:modified>
  <dc:title>神木县恒升煤化工有限责任公司公司自行监测方案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D456375E03DD4776AD501938589B6EBF</vt:lpwstr>
  </property>
</Properties>
</file>